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4C64AF6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法律咨询服务</w:t>
      </w: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9591006">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15A0B83">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ascii="仿宋_GB2312" w:hAnsi="仿宋_GB2312" w:eastAsia="仿宋_GB2312" w:cs="仿宋_GB2312"/>
          <w:i w:val="0"/>
          <w:iCs w:val="0"/>
          <w:caps w:val="0"/>
          <w:color w:val="auto"/>
          <w:spacing w:val="8"/>
          <w:sz w:val="32"/>
          <w:szCs w:val="32"/>
          <w:highlight w:val="none"/>
          <w:shd w:val="clear" w:color="auto" w:fill="FFFFFF"/>
          <w:lang w:val="en-US" w:eastAsia="zh-CN"/>
        </w:rPr>
        <w:t>许昌城投新能源科技有限公司</w:t>
      </w:r>
      <w:r>
        <w:rPr>
          <w:rFonts w:hint="default" w:ascii="Times New Roman" w:hAnsi="Times New Roman" w:eastAsia="仿宋_GB2312" w:cs="Times New Roman"/>
          <w:sz w:val="32"/>
          <w:szCs w:val="32"/>
          <w:lang w:val="en-US" w:eastAsia="zh-CN"/>
        </w:rPr>
        <w:t>（以下简称“比选人”）拟通过比选方式选取一家律师事务所对</w:t>
      </w:r>
      <w:r>
        <w:rPr>
          <w:rFonts w:hint="eastAsia" w:eastAsia="仿宋_GB2312" w:cs="Times New Roman"/>
          <w:sz w:val="32"/>
          <w:szCs w:val="32"/>
          <w:lang w:val="en-US" w:eastAsia="zh-CN"/>
        </w:rPr>
        <w:t>京广铁路以西区域供热管网提升改造项目二期工程</w:t>
      </w:r>
      <w:r>
        <w:rPr>
          <w:rFonts w:hint="default" w:ascii="Times New Roman" w:hAnsi="Times New Roman" w:eastAsia="仿宋_GB2312" w:cs="Times New Roman"/>
          <w:sz w:val="32"/>
          <w:szCs w:val="32"/>
          <w:lang w:val="en-US" w:eastAsia="zh-CN"/>
        </w:rPr>
        <w:t>申报政府专项债提供专项法律服务，现诚邀符合资格条件的公司参加。</w:t>
      </w:r>
    </w:p>
    <w:p w14:paraId="6246D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08D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eastAsia="仿宋_GB2312" w:cs="Times New Roman"/>
          <w:sz w:val="32"/>
          <w:szCs w:val="32"/>
          <w:lang w:val="en-US" w:eastAsia="zh-CN"/>
        </w:rPr>
        <w:t>京广铁路以西区域供热管网提升改造项目二期工程</w:t>
      </w:r>
      <w:r>
        <w:rPr>
          <w:rFonts w:hint="default" w:ascii="Times New Roman" w:hAnsi="Times New Roman" w:eastAsia="仿宋_GB2312" w:cs="Times New Roman"/>
          <w:color w:val="auto"/>
          <w:sz w:val="32"/>
          <w:szCs w:val="32"/>
          <w:lang w:val="en-US" w:eastAsia="zh-CN"/>
        </w:rPr>
        <w:t>申报政府专项债法律咨询服务</w:t>
      </w:r>
    </w:p>
    <w:p w14:paraId="08A0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5A9F4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3.服务内容：</w:t>
      </w:r>
    </w:p>
    <w:p w14:paraId="324C5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（1）在本次专项债申报过程中提供律师见证服务，并出具《法律意见书》；</w:t>
      </w:r>
    </w:p>
    <w:p w14:paraId="2DC77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（2）协助完成专项债审核机构反馈材料准备工作；</w:t>
      </w:r>
    </w:p>
    <w:p w14:paraId="1B4E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（3）在本次专项债申报发行过程中配合其他中介机构开展法律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服务工作；</w:t>
      </w:r>
    </w:p>
    <w:p w14:paraId="7FFF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（4）对本次专项债申报过程中涉及的各方面法律问题，进行法律分析、风险提示并提出解决方案，提供相关法律咨询服务等。</w:t>
      </w:r>
    </w:p>
    <w:p w14:paraId="44C2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9BE87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的申请人应具备以下条件：</w:t>
      </w:r>
    </w:p>
    <w:p w14:paraId="7AFD18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在中华人民共和国境内注册，具备独立法人资格，持有合法有效的企业法人营业执照；</w:t>
      </w:r>
    </w:p>
    <w:p w14:paraId="5C5E7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持有律师事务所执业许可证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在河南省内有分支机构或办公地</w:t>
      </w:r>
      <w:r>
        <w:rPr>
          <w:rFonts w:hint="default" w:ascii="Times New Roman" w:hAnsi="Times New Roman" w:eastAsia="仿宋_GB2312" w:cs="Times New Roman"/>
          <w:sz w:val="32"/>
          <w:szCs w:val="32"/>
          <w:lang w:eastAsia="zh-CN"/>
        </w:rPr>
        <w:t>；</w:t>
      </w:r>
    </w:p>
    <w:p w14:paraId="3067D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申请人近三年未因重大的执业质量等问题受到通报、处罚，没有处于破产、被责令停业或存在其他违法行为；</w:t>
      </w:r>
    </w:p>
    <w:p w14:paraId="6516DE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申请人未被列入“失信被执行人名单”，提供相关主体在“信用中国”网站“失信被执行人”情况查询记录（查询日期在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公告发布日期当日或之后）。</w:t>
      </w:r>
    </w:p>
    <w:p w14:paraId="129E91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314E2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1EC1A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5E0E2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5月19日18:00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CCA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3BB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25FDF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15DC4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5480F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0A9AE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771AB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48B1F0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8.3万元</w:t>
      </w:r>
      <w:r>
        <w:rPr>
          <w:rFonts w:hint="default" w:ascii="Times New Roman" w:hAnsi="Times New Roman" w:eastAsia="仿宋_GB2312" w:cs="Times New Roman"/>
          <w:color w:val="auto"/>
          <w:sz w:val="32"/>
          <w:szCs w:val="32"/>
          <w:highlight w:val="none"/>
          <w:lang w:val="en-US" w:eastAsia="zh-CN"/>
        </w:rPr>
        <w:t>。</w:t>
      </w:r>
    </w:p>
    <w:p w14:paraId="636CE9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751579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5"/>
      <w:bookmarkEnd w:id="0"/>
      <w:bookmarkStart w:id="1" w:name="_Toc35393627"/>
      <w:bookmarkEnd w:id="1"/>
      <w:bookmarkStart w:id="2" w:name="_Toc35393626"/>
      <w:bookmarkEnd w:id="2"/>
      <w:bookmarkStart w:id="3" w:name="_Toc28359008"/>
      <w:bookmarkEnd w:id="3"/>
      <w:bookmarkStart w:id="4" w:name="_Toc35393796"/>
      <w:bookmarkEnd w:id="4"/>
      <w:bookmarkStart w:id="5" w:name="_Toc2835908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234BA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5ACF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230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2DFB0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A42B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52E4FFB">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仿宋_GB2312" w:hAnsi="仿宋_GB2312" w:eastAsia="仿宋_GB2312" w:cs="仿宋_GB2312"/>
          <w:color w:val="auto"/>
          <w:sz w:val="32"/>
          <w:szCs w:val="32"/>
          <w:highlight w:val="none"/>
          <w:lang w:val="en-US" w:eastAsia="zh-CN"/>
        </w:rPr>
        <w:t>（更新）《法律意见书》工作，不得因《法律意见书》原因</w:t>
      </w:r>
      <w:r>
        <w:rPr>
          <w:rFonts w:hint="eastAsia" w:ascii="仿宋_GB2312" w:hAnsi="仿宋_GB2312" w:eastAsia="仿宋_GB2312" w:cs="仿宋_GB2312"/>
          <w:color w:val="auto"/>
          <w:sz w:val="32"/>
          <w:szCs w:val="32"/>
          <w:highlight w:val="none"/>
          <w:lang w:val="en-US" w:eastAsia="zh-CN"/>
        </w:rPr>
        <w:t>影响项目政府专项债</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服务期限自中标结果公示之日起，到项目完成政府专项债申报工作，并完成全部申报金额发行为止。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TW"/>
        </w:rPr>
      </w:pPr>
      <w:r>
        <w:rPr>
          <w:rFonts w:hint="default" w:ascii="仿宋_GB2312" w:hAnsi="仿宋_GB2312" w:eastAsia="仿宋_GB2312" w:cs="仿宋_GB2312"/>
          <w:color w:val="auto"/>
          <w:sz w:val="32"/>
          <w:szCs w:val="32"/>
          <w:highlight w:val="none"/>
          <w:lang w:val="en-US" w:eastAsia="zh-TW"/>
        </w:rPr>
        <w:t>以上技术要求</w:t>
      </w:r>
      <w:r>
        <w:rPr>
          <w:rFonts w:hint="default" w:ascii="仿宋_GB2312" w:hAnsi="仿宋_GB2312" w:eastAsia="仿宋_GB2312" w:cs="仿宋_GB2312"/>
          <w:color w:val="auto"/>
          <w:sz w:val="32"/>
          <w:szCs w:val="32"/>
          <w:highlight w:val="none"/>
          <w:lang w:val="en-US" w:eastAsia="zh-CN"/>
        </w:rPr>
        <w:t>投标人</w:t>
      </w:r>
      <w:r>
        <w:rPr>
          <w:rFonts w:hint="default" w:ascii="仿宋_GB2312" w:hAnsi="仿宋_GB2312" w:eastAsia="仿宋_GB2312" w:cs="仿宋_GB2312"/>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TW"/>
        </w:rPr>
        <w:t>因中标人的过失，给</w:t>
      </w:r>
      <w:r>
        <w:rPr>
          <w:rFonts w:hint="default" w:ascii="仿宋_GB2312" w:hAnsi="仿宋_GB2312" w:eastAsia="仿宋_GB2312" w:cs="仿宋_GB2312"/>
          <w:color w:val="auto"/>
          <w:sz w:val="32"/>
          <w:szCs w:val="32"/>
          <w:highlight w:val="none"/>
          <w:lang w:val="en-US" w:eastAsia="zh-CN"/>
        </w:rPr>
        <w:t>比选人</w:t>
      </w:r>
      <w:r>
        <w:rPr>
          <w:rFonts w:hint="default" w:ascii="仿宋_GB2312" w:hAnsi="仿宋_GB2312" w:eastAsia="仿宋_GB2312" w:cs="仿宋_GB2312"/>
          <w:color w:val="auto"/>
          <w:sz w:val="32"/>
          <w:szCs w:val="32"/>
          <w:highlight w:val="none"/>
          <w:lang w:val="en-US" w:eastAsia="zh-TW"/>
        </w:rPr>
        <w:t>造成经济损失的，应当依法赔偿</w:t>
      </w:r>
      <w:r>
        <w:rPr>
          <w:rFonts w:hint="default" w:ascii="仿宋_GB2312" w:hAnsi="仿宋_GB2312" w:eastAsia="仿宋_GB2312" w:cs="仿宋_GB2312"/>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8.3万元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29E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京广铁路以西区域供热管网提升改造项目二期工程</w:t>
            </w:r>
            <w:r>
              <w:rPr>
                <w:rFonts w:hint="default" w:ascii="仿宋" w:hAnsi="仿宋" w:eastAsia="仿宋" w:cs="仿宋"/>
                <w:color w:val="auto"/>
                <w:sz w:val="24"/>
                <w:szCs w:val="24"/>
                <w:lang w:val="en-US" w:eastAsia="zh-CN"/>
              </w:rPr>
              <w:t>申报政府专项债法律咨询服务</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京广铁路以西区域供热管网提升改造项目二期工程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2.具备出具政府专项债《财务评价报告》的成功经验；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8.3万元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227"/>
        <w:gridCol w:w="1352"/>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227"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352"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227"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8.3万元</w:t>
            </w:r>
            <w:r>
              <w:rPr>
                <w:rFonts w:hint="eastAsia" w:ascii="Times New Roman" w:hAnsi="Times New Roman" w:eastAsia="仿宋" w:cs="Times New Roman"/>
                <w:color w:val="000000"/>
                <w:kern w:val="0"/>
                <w:sz w:val="28"/>
                <w:szCs w:val="28"/>
                <w:highlight w:val="none"/>
                <w:lang w:val="en-US" w:eastAsia="zh-CN" w:bidi="ar"/>
              </w:rPr>
              <w:t>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352"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227"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352"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227"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352"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227"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352"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227" w:type="dxa"/>
            <w:vAlign w:val="center"/>
          </w:tcPr>
          <w:p w14:paraId="64EB755F">
            <w:pPr>
              <w:tabs>
                <w:tab w:val="left" w:pos="622"/>
              </w:tabs>
              <w:jc w:val="center"/>
              <w:rPr>
                <w:rFonts w:hint="eastAsia" w:ascii="宋体" w:hAnsi="宋体"/>
                <w:color w:val="auto"/>
                <w:sz w:val="24"/>
              </w:rPr>
            </w:pPr>
          </w:p>
        </w:tc>
        <w:tc>
          <w:tcPr>
            <w:tcW w:w="1352"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京广铁路以西区域供热管网提升改造项目二期工程申报政府专项债法律咨询服务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营业执照等（或法律执业许可材料）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服务业绩合同证明材料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3EEB5D9A">
      <w:pPr>
        <w:rPr>
          <w:rFonts w:hint="eastAsia"/>
          <w:color w:val="auto"/>
          <w:lang w:val="zh-CN"/>
        </w:rPr>
      </w:pPr>
    </w:p>
    <w:p w14:paraId="5D5172EC">
      <w:p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33E98560">
      <w:pPr>
        <w:pStyle w:val="9"/>
        <w:spacing w:line="360" w:lineRule="auto"/>
        <w:jc w:val="center"/>
        <w:rPr>
          <w:rFonts w:hint="eastAsia" w:ascii="仿宋" w:hAnsi="仿宋" w:eastAsia="仿宋" w:cs="仿宋"/>
          <w:b/>
          <w:snapToGrid w:val="0"/>
          <w:color w:val="auto"/>
          <w:kern w:val="0"/>
          <w:sz w:val="36"/>
          <w:szCs w:val="36"/>
          <w:lang w:eastAsia="zh-CN"/>
        </w:rPr>
      </w:pPr>
    </w:p>
    <w:p w14:paraId="392B3A4A">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附营业执照等（或法律执业许可材料）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（四）符合法律咨询服务资格、行政法规规定的其他条件。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法律</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C8751917-A34F-436E-BB57-5A53EB6BC6E2}"/>
  </w:font>
  <w:font w:name="仿宋">
    <w:panose1 w:val="02010609060101010101"/>
    <w:charset w:val="86"/>
    <w:family w:val="auto"/>
    <w:pitch w:val="default"/>
    <w:sig w:usb0="800002BF" w:usb1="38CF7CFA" w:usb2="00000016" w:usb3="00000000" w:csb0="00040001" w:csb1="00000000"/>
    <w:embedRegular r:id="rId2" w:fontKey="{CD1B1A1A-C524-4B1C-B9DF-E201FFF90203}"/>
  </w:font>
  <w:font w:name="仿宋_GB2312">
    <w:panose1 w:val="02010609030101010101"/>
    <w:charset w:val="86"/>
    <w:family w:val="auto"/>
    <w:pitch w:val="default"/>
    <w:sig w:usb0="00000001" w:usb1="080E0000" w:usb2="00000000" w:usb3="00000000" w:csb0="00040000" w:csb1="00000000"/>
    <w:embedRegular r:id="rId3" w:fontKey="{F4F7D044-D95F-4D97-88D2-247FFC47C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C91C05"/>
    <w:rsid w:val="01D159CE"/>
    <w:rsid w:val="01E51E07"/>
    <w:rsid w:val="01F94D3E"/>
    <w:rsid w:val="02251150"/>
    <w:rsid w:val="0238565C"/>
    <w:rsid w:val="02A80913"/>
    <w:rsid w:val="02BF77F6"/>
    <w:rsid w:val="02FC45A7"/>
    <w:rsid w:val="03710F50"/>
    <w:rsid w:val="03B44E81"/>
    <w:rsid w:val="03B505D2"/>
    <w:rsid w:val="04021749"/>
    <w:rsid w:val="04566B35"/>
    <w:rsid w:val="046A44ED"/>
    <w:rsid w:val="052F52F4"/>
    <w:rsid w:val="057869E1"/>
    <w:rsid w:val="059D30B6"/>
    <w:rsid w:val="05DA4CC0"/>
    <w:rsid w:val="060A0D89"/>
    <w:rsid w:val="06104A21"/>
    <w:rsid w:val="06204397"/>
    <w:rsid w:val="066A1827"/>
    <w:rsid w:val="06F15AA5"/>
    <w:rsid w:val="06F930B6"/>
    <w:rsid w:val="06FA06BD"/>
    <w:rsid w:val="07153E89"/>
    <w:rsid w:val="0770438A"/>
    <w:rsid w:val="085A5FF7"/>
    <w:rsid w:val="08A55595"/>
    <w:rsid w:val="09413E70"/>
    <w:rsid w:val="0949606C"/>
    <w:rsid w:val="095664BF"/>
    <w:rsid w:val="09DE0417"/>
    <w:rsid w:val="0A2F5262"/>
    <w:rsid w:val="0A454A85"/>
    <w:rsid w:val="0B5940BE"/>
    <w:rsid w:val="0C3A33FD"/>
    <w:rsid w:val="0C6C454B"/>
    <w:rsid w:val="0D5D5C42"/>
    <w:rsid w:val="0E6757EE"/>
    <w:rsid w:val="0EA06CB7"/>
    <w:rsid w:val="0ED10695"/>
    <w:rsid w:val="0F004A9B"/>
    <w:rsid w:val="0F27553F"/>
    <w:rsid w:val="0F380715"/>
    <w:rsid w:val="0F791428"/>
    <w:rsid w:val="10246EEB"/>
    <w:rsid w:val="1034136D"/>
    <w:rsid w:val="106B4B1A"/>
    <w:rsid w:val="110E640B"/>
    <w:rsid w:val="11B12536"/>
    <w:rsid w:val="11E86420"/>
    <w:rsid w:val="11F823DD"/>
    <w:rsid w:val="123F625E"/>
    <w:rsid w:val="12B5207C"/>
    <w:rsid w:val="12BC340B"/>
    <w:rsid w:val="130176FD"/>
    <w:rsid w:val="1360023A"/>
    <w:rsid w:val="13855EF2"/>
    <w:rsid w:val="13B90CB9"/>
    <w:rsid w:val="144917C3"/>
    <w:rsid w:val="14D507B4"/>
    <w:rsid w:val="15716122"/>
    <w:rsid w:val="1582093B"/>
    <w:rsid w:val="159633AE"/>
    <w:rsid w:val="15AB5A56"/>
    <w:rsid w:val="160C6494"/>
    <w:rsid w:val="166060ED"/>
    <w:rsid w:val="17175B61"/>
    <w:rsid w:val="1767603B"/>
    <w:rsid w:val="180A079D"/>
    <w:rsid w:val="18603991"/>
    <w:rsid w:val="18691943"/>
    <w:rsid w:val="18AD10E5"/>
    <w:rsid w:val="18BF3C55"/>
    <w:rsid w:val="19BF6E53"/>
    <w:rsid w:val="19D84FCE"/>
    <w:rsid w:val="19D918FD"/>
    <w:rsid w:val="1A1139B6"/>
    <w:rsid w:val="1B161797"/>
    <w:rsid w:val="1BF400B9"/>
    <w:rsid w:val="1C4E77C9"/>
    <w:rsid w:val="1C7272F1"/>
    <w:rsid w:val="1EB84FB4"/>
    <w:rsid w:val="1ED90DA1"/>
    <w:rsid w:val="20E81880"/>
    <w:rsid w:val="21924E50"/>
    <w:rsid w:val="22130EA0"/>
    <w:rsid w:val="23597F78"/>
    <w:rsid w:val="236D2C2B"/>
    <w:rsid w:val="23911ECE"/>
    <w:rsid w:val="23F8720B"/>
    <w:rsid w:val="24E56118"/>
    <w:rsid w:val="25203CCD"/>
    <w:rsid w:val="25846482"/>
    <w:rsid w:val="259020DD"/>
    <w:rsid w:val="259F5B13"/>
    <w:rsid w:val="25EB1F94"/>
    <w:rsid w:val="25FA2162"/>
    <w:rsid w:val="261750D0"/>
    <w:rsid w:val="26E33204"/>
    <w:rsid w:val="274B1017"/>
    <w:rsid w:val="274C35FE"/>
    <w:rsid w:val="28163820"/>
    <w:rsid w:val="28520641"/>
    <w:rsid w:val="287C03AF"/>
    <w:rsid w:val="2A7331BD"/>
    <w:rsid w:val="2AA76515"/>
    <w:rsid w:val="2B59745D"/>
    <w:rsid w:val="2BCE666F"/>
    <w:rsid w:val="2BE179EB"/>
    <w:rsid w:val="2BF87ED1"/>
    <w:rsid w:val="2BFF288E"/>
    <w:rsid w:val="2BFF463C"/>
    <w:rsid w:val="2C0D6146"/>
    <w:rsid w:val="2CC12172"/>
    <w:rsid w:val="2D2057F2"/>
    <w:rsid w:val="2D835246"/>
    <w:rsid w:val="2E4862BB"/>
    <w:rsid w:val="2EB22C52"/>
    <w:rsid w:val="2EDF2503"/>
    <w:rsid w:val="2F2A6E19"/>
    <w:rsid w:val="30B11B67"/>
    <w:rsid w:val="30F73708"/>
    <w:rsid w:val="310444A3"/>
    <w:rsid w:val="32382BF4"/>
    <w:rsid w:val="32CB34CA"/>
    <w:rsid w:val="33C259F7"/>
    <w:rsid w:val="33CF2B46"/>
    <w:rsid w:val="33E800AC"/>
    <w:rsid w:val="33EA3E24"/>
    <w:rsid w:val="340F7D51"/>
    <w:rsid w:val="34126ED7"/>
    <w:rsid w:val="342F7C9D"/>
    <w:rsid w:val="35372F89"/>
    <w:rsid w:val="35A63D7A"/>
    <w:rsid w:val="36936B79"/>
    <w:rsid w:val="36F44ACE"/>
    <w:rsid w:val="372F0D73"/>
    <w:rsid w:val="374675C3"/>
    <w:rsid w:val="376173AB"/>
    <w:rsid w:val="37B035DE"/>
    <w:rsid w:val="37ED3CDC"/>
    <w:rsid w:val="38C21BC7"/>
    <w:rsid w:val="38C96EB8"/>
    <w:rsid w:val="39613064"/>
    <w:rsid w:val="397358E6"/>
    <w:rsid w:val="3AB220F6"/>
    <w:rsid w:val="3AC916FB"/>
    <w:rsid w:val="3AC9229B"/>
    <w:rsid w:val="3AED708D"/>
    <w:rsid w:val="3B175C66"/>
    <w:rsid w:val="3BA448B8"/>
    <w:rsid w:val="3BE61A23"/>
    <w:rsid w:val="3C1A7270"/>
    <w:rsid w:val="3C506712"/>
    <w:rsid w:val="3C985AF7"/>
    <w:rsid w:val="3CBB635D"/>
    <w:rsid w:val="3D0E0B83"/>
    <w:rsid w:val="3D804EB1"/>
    <w:rsid w:val="3DC33DF0"/>
    <w:rsid w:val="3DCD7A37"/>
    <w:rsid w:val="3E5F540E"/>
    <w:rsid w:val="3EA26366"/>
    <w:rsid w:val="3F6525B0"/>
    <w:rsid w:val="404F2B3D"/>
    <w:rsid w:val="409E1FAE"/>
    <w:rsid w:val="409F25A6"/>
    <w:rsid w:val="40C1068E"/>
    <w:rsid w:val="40EB5E2E"/>
    <w:rsid w:val="41350634"/>
    <w:rsid w:val="41686577"/>
    <w:rsid w:val="4172570C"/>
    <w:rsid w:val="41B55B4E"/>
    <w:rsid w:val="41CE016A"/>
    <w:rsid w:val="424C5BA2"/>
    <w:rsid w:val="427C033D"/>
    <w:rsid w:val="4286412E"/>
    <w:rsid w:val="42A3719F"/>
    <w:rsid w:val="42F80DB2"/>
    <w:rsid w:val="4431250F"/>
    <w:rsid w:val="44396802"/>
    <w:rsid w:val="443F1622"/>
    <w:rsid w:val="444F192C"/>
    <w:rsid w:val="44D35F39"/>
    <w:rsid w:val="44E26451"/>
    <w:rsid w:val="44FC06F4"/>
    <w:rsid w:val="45034D45"/>
    <w:rsid w:val="45282B95"/>
    <w:rsid w:val="45440D98"/>
    <w:rsid w:val="455664FC"/>
    <w:rsid w:val="458435F4"/>
    <w:rsid w:val="459534C4"/>
    <w:rsid w:val="45C5024D"/>
    <w:rsid w:val="45C937D0"/>
    <w:rsid w:val="46BE746F"/>
    <w:rsid w:val="47DB18C9"/>
    <w:rsid w:val="47F839E2"/>
    <w:rsid w:val="484E2EA9"/>
    <w:rsid w:val="48A53C83"/>
    <w:rsid w:val="48E35C7E"/>
    <w:rsid w:val="49164ABC"/>
    <w:rsid w:val="49995C78"/>
    <w:rsid w:val="49D0470F"/>
    <w:rsid w:val="49FE2799"/>
    <w:rsid w:val="4A0238F5"/>
    <w:rsid w:val="4A952DAE"/>
    <w:rsid w:val="4B66509A"/>
    <w:rsid w:val="4BC845F3"/>
    <w:rsid w:val="4BF54CBC"/>
    <w:rsid w:val="4C6753F2"/>
    <w:rsid w:val="4CD53C0E"/>
    <w:rsid w:val="4D325232"/>
    <w:rsid w:val="4D666E75"/>
    <w:rsid w:val="4D814A59"/>
    <w:rsid w:val="4D926C66"/>
    <w:rsid w:val="4DB4353A"/>
    <w:rsid w:val="4DE2074E"/>
    <w:rsid w:val="4DF47921"/>
    <w:rsid w:val="4DF80C26"/>
    <w:rsid w:val="4E994B9F"/>
    <w:rsid w:val="4E9E5ADF"/>
    <w:rsid w:val="4F625BA7"/>
    <w:rsid w:val="4F7D3946"/>
    <w:rsid w:val="50447F7A"/>
    <w:rsid w:val="506B7C43"/>
    <w:rsid w:val="50713369"/>
    <w:rsid w:val="510A1419"/>
    <w:rsid w:val="51402E7D"/>
    <w:rsid w:val="51583D23"/>
    <w:rsid w:val="51AB02C4"/>
    <w:rsid w:val="51B3364F"/>
    <w:rsid w:val="52132340"/>
    <w:rsid w:val="52360357"/>
    <w:rsid w:val="52A5743C"/>
    <w:rsid w:val="52AD7609"/>
    <w:rsid w:val="52CD24EF"/>
    <w:rsid w:val="535B4E77"/>
    <w:rsid w:val="53762B86"/>
    <w:rsid w:val="53F87A3F"/>
    <w:rsid w:val="55144E68"/>
    <w:rsid w:val="552C446C"/>
    <w:rsid w:val="5552317F"/>
    <w:rsid w:val="55820BFC"/>
    <w:rsid w:val="560A50C5"/>
    <w:rsid w:val="56312D95"/>
    <w:rsid w:val="56CE3AA9"/>
    <w:rsid w:val="56F7363C"/>
    <w:rsid w:val="56FC732B"/>
    <w:rsid w:val="570F4E24"/>
    <w:rsid w:val="57376C93"/>
    <w:rsid w:val="57BA4624"/>
    <w:rsid w:val="57BF3FA4"/>
    <w:rsid w:val="58555460"/>
    <w:rsid w:val="59BC7D8E"/>
    <w:rsid w:val="59DD395F"/>
    <w:rsid w:val="59FD7B5D"/>
    <w:rsid w:val="59FE29BC"/>
    <w:rsid w:val="5AB126F6"/>
    <w:rsid w:val="5AE96334"/>
    <w:rsid w:val="5C07180B"/>
    <w:rsid w:val="5C95407D"/>
    <w:rsid w:val="5D1C02FB"/>
    <w:rsid w:val="5D752101"/>
    <w:rsid w:val="5E2C6C63"/>
    <w:rsid w:val="5EE83DA2"/>
    <w:rsid w:val="5FAE5456"/>
    <w:rsid w:val="5FE46C8E"/>
    <w:rsid w:val="5FEF5A95"/>
    <w:rsid w:val="60372166"/>
    <w:rsid w:val="608E4C5E"/>
    <w:rsid w:val="60AD4F61"/>
    <w:rsid w:val="60C44F62"/>
    <w:rsid w:val="60D54EE6"/>
    <w:rsid w:val="60F17CF0"/>
    <w:rsid w:val="61251748"/>
    <w:rsid w:val="626E5079"/>
    <w:rsid w:val="62992A04"/>
    <w:rsid w:val="62EE098B"/>
    <w:rsid w:val="63BD4F8F"/>
    <w:rsid w:val="643C5726"/>
    <w:rsid w:val="648A3373"/>
    <w:rsid w:val="649E3CEB"/>
    <w:rsid w:val="65031DA0"/>
    <w:rsid w:val="65BB5819"/>
    <w:rsid w:val="66984259"/>
    <w:rsid w:val="67346B89"/>
    <w:rsid w:val="677A27ED"/>
    <w:rsid w:val="6785255B"/>
    <w:rsid w:val="67B929BB"/>
    <w:rsid w:val="685C7FB7"/>
    <w:rsid w:val="686B482C"/>
    <w:rsid w:val="687D3C28"/>
    <w:rsid w:val="688C217B"/>
    <w:rsid w:val="688D7AC5"/>
    <w:rsid w:val="68B91AEC"/>
    <w:rsid w:val="68ED6FEF"/>
    <w:rsid w:val="6AA21139"/>
    <w:rsid w:val="6B122D3D"/>
    <w:rsid w:val="6CF07C20"/>
    <w:rsid w:val="6D0B0407"/>
    <w:rsid w:val="6D8819DC"/>
    <w:rsid w:val="6DBF6C55"/>
    <w:rsid w:val="6DD357EF"/>
    <w:rsid w:val="6DD864C0"/>
    <w:rsid w:val="6DE50C94"/>
    <w:rsid w:val="6F294A2D"/>
    <w:rsid w:val="6F4A2780"/>
    <w:rsid w:val="70860455"/>
    <w:rsid w:val="70BB4F04"/>
    <w:rsid w:val="71001A18"/>
    <w:rsid w:val="71504C22"/>
    <w:rsid w:val="71F907B3"/>
    <w:rsid w:val="72C154D1"/>
    <w:rsid w:val="73360B16"/>
    <w:rsid w:val="737D1E5A"/>
    <w:rsid w:val="73A263BE"/>
    <w:rsid w:val="73AC5621"/>
    <w:rsid w:val="73AD7AA7"/>
    <w:rsid w:val="73B47087"/>
    <w:rsid w:val="73C76997"/>
    <w:rsid w:val="741B1AD7"/>
    <w:rsid w:val="751B597F"/>
    <w:rsid w:val="75846F2D"/>
    <w:rsid w:val="758D193E"/>
    <w:rsid w:val="75A63A1A"/>
    <w:rsid w:val="75DD668E"/>
    <w:rsid w:val="765A5C5D"/>
    <w:rsid w:val="76B850E0"/>
    <w:rsid w:val="76C375E1"/>
    <w:rsid w:val="76C72E9F"/>
    <w:rsid w:val="770025E3"/>
    <w:rsid w:val="7705006E"/>
    <w:rsid w:val="77071BC4"/>
    <w:rsid w:val="776A4892"/>
    <w:rsid w:val="78441ADC"/>
    <w:rsid w:val="788E0646"/>
    <w:rsid w:val="79351E88"/>
    <w:rsid w:val="79835BAD"/>
    <w:rsid w:val="79981D97"/>
    <w:rsid w:val="79ED50A1"/>
    <w:rsid w:val="7A120FA2"/>
    <w:rsid w:val="7AAF67FA"/>
    <w:rsid w:val="7B0A57DF"/>
    <w:rsid w:val="7B572093"/>
    <w:rsid w:val="7B590514"/>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4866</Words>
  <Characters>5050</Characters>
  <Lines>0</Lines>
  <Paragraphs>0</Paragraphs>
  <TotalTime>10</TotalTime>
  <ScaleCrop>false</ScaleCrop>
  <LinksUpToDate>false</LinksUpToDate>
  <CharactersWithSpaces>5404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8DB514BB5EB449D7BB5125541DC77301_13</vt:lpwstr>
  </property>
  <property fmtid="{D5CDD505-2E9C-101B-9397-08002B2CF9AE}" pid="4" name="KSOTemplateDocerSaveRecord">
    <vt:lpwstr>eyJoZGlkIjoiOThmZjEwYzc0ZWY0ZTI5ZTI4YjE1MjBkNmY1M2ZiNzkiLCJ1c2VySWQiOiI4NjU1Nzg4MTMifQ==</vt:lpwstr>
  </property>
</Properties>
</file>