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pageBreakBefore w:val="0"/>
        <w:shd w:val="clear" w:color="auto" w:fill="auto"/>
        <w:kinsoku/>
        <w:wordWrap/>
        <w:overflowPunct/>
        <w:topLinePunct w:val="0"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报价单</w:t>
      </w:r>
    </w:p>
    <w:p w14:paraId="578B334D">
      <w:pPr>
        <w:pageBreakBefore w:val="0"/>
        <w:shd w:val="clear" w:color="auto" w:fill="auto"/>
        <w:kinsoku/>
        <w:wordWrap/>
        <w:overflowPunct/>
        <w:topLinePunct w:val="0"/>
        <w:bidi w:val="0"/>
        <w:spacing w:line="50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6B15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许昌市胖东来生活服务圈城市公共空间功能提升连通工程—许昌市陈庄街（魏武大道-松苑路）打通工程项目第三方监测</w:t>
            </w:r>
          </w:p>
          <w:p w14:paraId="328AAF61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  <w:p w14:paraId="6E9ECAC8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包括但不限于雨水箱涵及雨水泵站基坑等部位的监测</w:t>
            </w: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****（含税）</w:t>
            </w:r>
          </w:p>
        </w:tc>
      </w:tr>
    </w:tbl>
    <w:p w14:paraId="4D598A37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BF41D2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pageBreakBefore w:val="0"/>
        <w:kinsoku/>
        <w:wordWrap/>
        <w:overflowPunct/>
        <w:topLinePunct w:val="0"/>
        <w:bidi w:val="0"/>
        <w:spacing w:line="50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088D43B9">
      <w:pPr>
        <w:pageBreakBefore w:val="0"/>
        <w:kinsoku/>
        <w:wordWrap/>
        <w:overflowPunct/>
        <w:topLinePunct w:val="0"/>
        <w:bidi w:val="0"/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709CCAC">
      <w:pPr>
        <w:pageBreakBefore w:val="0"/>
        <w:shd w:val="clear" w:color="auto" w:fill="auto"/>
        <w:kinsoku/>
        <w:wordWrap/>
        <w:overflowPunct/>
        <w:topLinePunct w:val="0"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监测清单</w:t>
      </w:r>
    </w:p>
    <w:p w14:paraId="5E25DC0F">
      <w:pPr>
        <w:pageBreakBefore w:val="0"/>
        <w:kinsoku/>
        <w:wordWrap/>
        <w:overflowPunct/>
        <w:topLinePunct w:val="0"/>
        <w:bidi w:val="0"/>
        <w:spacing w:before="320" w:after="120" w:line="500" w:lineRule="exact"/>
        <w:ind w:firstLine="640" w:firstLineChars="200"/>
        <w:jc w:val="left"/>
        <w:outlineLvl w:val="1"/>
        <w:rPr>
          <w:rFonts w:hint="default" w:ascii="Times New Roman" w:hAnsi="Times New Roman" w:eastAsia="黑体" w:cs="Times New Roman"/>
          <w:b w:val="0"/>
          <w:bCs/>
          <w:kern w:val="0"/>
          <w:szCs w:val="22"/>
        </w:rPr>
      </w:pPr>
      <w:bookmarkStart w:id="0" w:name="heading_0"/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  <w:t>一、工程概况</w:t>
      </w:r>
      <w:bookmarkEnd w:id="0"/>
    </w:p>
    <w:p w14:paraId="3E864502">
      <w:pPr>
        <w:pageBreakBefore w:val="0"/>
        <w:widowControl/>
        <w:shd w:val="clear" w:color="auto" w:fill="auto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 项目名称：许昌市陈庄街（魏武大道-松苑路）打通工程许昌市胖东来生活服务圈城市公共空间功能提升连通工程—许昌市陈庄街（魏武大道-松苑路）打通工程项目第三方监测</w:t>
      </w:r>
    </w:p>
    <w:p w14:paraId="5B18B2F3">
      <w:pPr>
        <w:pageBreakBefore w:val="0"/>
        <w:widowControl/>
        <w:shd w:val="clear" w:color="auto" w:fill="auto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监测范围：包括但不限于雨水箱涵基坑、雨水泵站基坑等</w:t>
      </w:r>
    </w:p>
    <w:p w14:paraId="4A688A21">
      <w:pPr>
        <w:pageBreakBefore w:val="0"/>
        <w:widowControl/>
        <w:shd w:val="clear" w:color="auto" w:fill="auto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服务工期：3个月</w:t>
      </w:r>
    </w:p>
    <w:p w14:paraId="3B0A35E9">
      <w:pPr>
        <w:pageBreakBefore w:val="0"/>
        <w:widowControl/>
        <w:shd w:val="clear" w:color="auto" w:fill="auto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 监测目的：按照设计图纸要求，实时监测施工期间各类监测点位移、轴力等数据，保障施工安全及周边环境稳定。</w:t>
      </w:r>
      <w:bookmarkStart w:id="1" w:name="heading_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7524CAF3">
      <w:pPr>
        <w:pageBreakBefore w:val="0"/>
        <w:widowControl/>
        <w:shd w:val="clear" w:color="auto" w:fill="auto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textAlignment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en-US" w:eastAsia="zh-CN"/>
        </w:rPr>
        <w:t>预估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  <w:t>监测点位及数量汇总</w:t>
      </w:r>
      <w:bookmarkEnd w:id="1"/>
    </w:p>
    <w:tbl>
      <w:tblPr>
        <w:tblStyle w:val="13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4"/>
        <w:gridCol w:w="2835"/>
        <w:gridCol w:w="1560"/>
        <w:gridCol w:w="1275"/>
        <w:gridCol w:w="1326"/>
      </w:tblGrid>
      <w:tr w14:paraId="4AE5D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E4CF7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基坑类型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05C689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监测项目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A0D889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单处基坑点位数量（个）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E3C4F0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基坑数量（处）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237E5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总点位数量（个）</w:t>
            </w:r>
          </w:p>
        </w:tc>
      </w:tr>
      <w:tr w14:paraId="7FB397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EE2400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雨水箱涵基坑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12D710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围护顶垂直与水平位移监测点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5DFE50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67A970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131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BADA8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262</w:t>
            </w:r>
          </w:p>
        </w:tc>
      </w:tr>
      <w:tr w14:paraId="53983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147AB2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A2766F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围护墙体倾斜监测点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3B097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171FB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81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AD159A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162</w:t>
            </w:r>
          </w:p>
        </w:tc>
      </w:tr>
      <w:tr w14:paraId="0776A0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CB2E9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7F97D7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坑外地表土体垂直位移监测点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919998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E883CF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81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AA534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162</w:t>
            </w:r>
          </w:p>
        </w:tc>
      </w:tr>
      <w:tr w14:paraId="722A1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5DEAD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158A1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地下水位监测点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18315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6C34D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66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B2121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66</w:t>
            </w:r>
          </w:p>
        </w:tc>
      </w:tr>
      <w:tr w14:paraId="0A8A67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A7A6B6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99BF3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支撑轴力监测点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D750CC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393823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177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D077E7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177</w:t>
            </w:r>
          </w:p>
        </w:tc>
      </w:tr>
      <w:tr w14:paraId="55A84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129A97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9588B3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京广高铁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5BBFD1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259E50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7787D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40</w:t>
            </w:r>
          </w:p>
        </w:tc>
      </w:tr>
      <w:tr w14:paraId="618B5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564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8706E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雨水箱涵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基坑小计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516EA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76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866200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869</w:t>
            </w:r>
          </w:p>
        </w:tc>
      </w:tr>
      <w:tr w14:paraId="1E007F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91CD52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雨水泵站基坑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02366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围护顶垂直与水平位移监测点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AED59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644716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0A65D6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9</w:t>
            </w:r>
          </w:p>
        </w:tc>
      </w:tr>
      <w:tr w14:paraId="06421E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CC5119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5D788B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围护墙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深层水平位移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B5CD7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66D185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441D5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9</w:t>
            </w:r>
          </w:p>
        </w:tc>
      </w:tr>
      <w:tr w14:paraId="2E9A8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78ADCE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6A729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坑外地表土体垂直位移监测点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D94ABB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C66C86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4E787D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6</w:t>
            </w:r>
          </w:p>
        </w:tc>
      </w:tr>
      <w:tr w14:paraId="0AF1C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075599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C32A2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地下水位监测点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64C82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EA3DA2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80CC63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</w:tr>
      <w:tr w14:paraId="64476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564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4E1A6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雨水泵站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基坑小计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8481F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597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F0674D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27</w:t>
            </w:r>
          </w:p>
        </w:tc>
      </w:tr>
      <w:tr w14:paraId="7A711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92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4E72E5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项目总监测点位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C6C3B5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896</w:t>
            </w:r>
          </w:p>
        </w:tc>
      </w:tr>
    </w:tbl>
    <w:p w14:paraId="332EA798">
      <w:pPr>
        <w:pageBreakBefore w:val="0"/>
        <w:kinsoku/>
        <w:wordWrap/>
        <w:overflowPunct/>
        <w:topLinePunct w:val="0"/>
        <w:bidi w:val="0"/>
        <w:spacing w:before="320" w:after="120" w:line="500" w:lineRule="exact"/>
        <w:ind w:firstLine="640" w:firstLineChars="200"/>
        <w:jc w:val="left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</w:pPr>
      <w:bookmarkStart w:id="2" w:name="heading_2"/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en-US" w:eastAsia="zh-CN"/>
        </w:rPr>
        <w:t>预估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  <w:t>监测频次及总测次</w:t>
      </w:r>
      <w:bookmarkEnd w:id="2"/>
    </w:p>
    <w:p w14:paraId="38E849AC">
      <w:pPr>
        <w:pageBreakBefore w:val="0"/>
        <w:widowControl/>
        <w:shd w:val="clear" w:color="auto" w:fill="auto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 监测频次：结合3个月结构工期，参考行业规范及工程实际情况，综合确定平均每监测点监测12次（涵盖开挖阶段、主体施工稳定阶段、收尾阶段，满足安全监测及审计要求）。</w:t>
      </w:r>
    </w:p>
    <w:p w14:paraId="24EBB824">
      <w:pPr>
        <w:pageBreakBefore w:val="0"/>
        <w:widowControl/>
        <w:shd w:val="clear" w:color="auto" w:fill="auto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总测次计算：总监测点位 × 平均监测频次 = 896点×12次/点 =10752次</w:t>
      </w:r>
      <w:bookmarkStart w:id="3" w:name="heading_4"/>
    </w:p>
    <w:p w14:paraId="4A7CCACF">
      <w:pPr>
        <w:pageBreakBefore w:val="0"/>
        <w:widowControl/>
        <w:shd w:val="clear" w:color="auto" w:fill="auto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textAlignment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  <w:t>、报价说明</w:t>
      </w:r>
      <w:bookmarkEnd w:id="3"/>
    </w:p>
    <w:p w14:paraId="55144F3D">
      <w:pPr>
        <w:pageBreakBefore w:val="0"/>
        <w:widowControl/>
        <w:shd w:val="clear" w:color="auto" w:fill="auto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 本报价包含所有监测点位的监测、数据采集、整理分析、监测报告出具、现场协调等全部相关费用，含税、含运费，无额外隐形费用。</w:t>
      </w:r>
    </w:p>
    <w:p w14:paraId="2E987FB6">
      <w:pPr>
        <w:pageBreakBefore w:val="0"/>
        <w:widowControl/>
        <w:shd w:val="clear" w:color="auto" w:fill="auto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监测频次可根据工程实际施工进度及现场情况，在规范允许范围内适当调整，总价保持不变。</w:t>
      </w:r>
      <w:bookmarkStart w:id="4" w:name="heading_5"/>
    </w:p>
    <w:p w14:paraId="59DCD157">
      <w:pPr>
        <w:pageBreakBefore w:val="0"/>
        <w:widowControl/>
        <w:shd w:val="clear" w:color="auto" w:fill="auto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textAlignment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  <w:t>、备注</w:t>
      </w:r>
      <w:bookmarkEnd w:id="4"/>
    </w:p>
    <w:p w14:paraId="07E37905">
      <w:pPr>
        <w:pageBreakBefore w:val="0"/>
        <w:widowControl/>
        <w:shd w:val="clear" w:color="auto" w:fill="auto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严格按照国家及行业相关规范开展监测工作，确保监测数据真实、准确、及时。</w:t>
      </w:r>
    </w:p>
    <w:p w14:paraId="364F2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FFDD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CF7A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</w:p>
    <w:p w14:paraId="5C82FC14">
      <w:pPr>
        <w:pStyle w:val="8"/>
        <w:pageBreakBefore w:val="0"/>
        <w:kinsoku/>
        <w:wordWrap/>
        <w:overflowPunct/>
        <w:topLinePunct w:val="0"/>
        <w:bidi w:val="0"/>
        <w:spacing w:line="50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  <w:t>评标标准</w:t>
      </w:r>
    </w:p>
    <w:p w14:paraId="39EA38BD">
      <w:pPr>
        <w:pageBreakBefore w:val="0"/>
        <w:kinsoku/>
        <w:wordWrap/>
        <w:overflowPunct/>
        <w:topLinePunct w:val="0"/>
        <w:bidi w:val="0"/>
        <w:spacing w:before="320" w:after="120" w:line="500" w:lineRule="exact"/>
        <w:ind w:firstLine="640" w:firstLineChars="200"/>
        <w:jc w:val="left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zh-CN"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。</w:t>
      </w:r>
    </w:p>
    <w:p w14:paraId="2DAB66E7">
      <w:pPr>
        <w:pageBreakBefore w:val="0"/>
        <w:kinsoku/>
        <w:wordWrap/>
        <w:overflowPunct/>
        <w:topLinePunct w:val="0"/>
        <w:bidi w:val="0"/>
        <w:spacing w:before="320" w:after="120" w:line="500" w:lineRule="exact"/>
        <w:ind w:firstLine="640" w:firstLineChars="200"/>
        <w:jc w:val="left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企业报价：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</w:t>
            </w:r>
          </w:p>
          <w:p w14:paraId="3761045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项目人员：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</w:t>
            </w:r>
          </w:p>
          <w:p w14:paraId="788E25E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E24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高于控制价的报价为无效报价。</w: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69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工作方案（10分）：对本项目理解深入、重点突出、工作方案思路清晰、可行，能够保证工作按时保质、保量完成。优秀6-10分；良好1-5分；没有不得分。 </w:t>
            </w:r>
          </w:p>
          <w:p w14:paraId="129094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质量及进度保障措施（10分）：是否制定完善的质量控制方案和程序、执行标准；对项目工作实施关键节点把握准确，能够严格按计划完成相关工作；能够根据采购人要求，合理安排相关工作。优秀6-10分；良好1-5分；没有不得分。 </w:t>
            </w:r>
          </w:p>
          <w:p w14:paraId="28A066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企业每提供一项2023年1月1日以来签订的对应类似业绩合同得5分，本项最高得20分（需提供相关合同复印件加盖公章，日期以合同签订日期为准）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D73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项目人员</w:t>
            </w:r>
          </w:p>
          <w:p w14:paraId="4CD5C18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15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项目负责人应具有勘察或测绘等相关专业证书，同时项目负责人具有工程类高级及以上职称的得10分，具有中级职称的得5分，本项最高得10分。</w:t>
            </w:r>
          </w:p>
          <w:p w14:paraId="6B5340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项目组人员中除项目负责人外，其他人员中具有测绘专业证书且具有中级以上职称的，每有一个加5分，本项最高得10分。</w:t>
            </w:r>
          </w:p>
          <w:p w14:paraId="5E7384BA">
            <w:pPr>
              <w:pStyle w:val="11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（需提供投标人员劳动合同、职称证书及投标人为其缴纳近一年内连续3个月的社保等证明材料）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采用综合评分法，按照得分由高到低确定候选人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 w14:paraId="7E5714C4">
      <w:pPr>
        <w:pStyle w:val="12"/>
        <w:pageBreakBefore w:val="0"/>
        <w:kinsoku/>
        <w:wordWrap/>
        <w:overflowPunct/>
        <w:topLinePunct w:val="0"/>
        <w:bidi w:val="0"/>
        <w:spacing w:before="100" w:after="100" w:line="500" w:lineRule="exact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240C222B">
      <w:pPr>
        <w:pStyle w:val="12"/>
        <w:pageBreakBefore w:val="0"/>
        <w:kinsoku/>
        <w:wordWrap/>
        <w:overflowPunct/>
        <w:topLinePunct w:val="0"/>
        <w:bidi w:val="0"/>
        <w:spacing w:before="100" w:after="100" w:line="500" w:lineRule="exact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2E8C915F">
      <w:pPr>
        <w:pStyle w:val="12"/>
        <w:pageBreakBefore w:val="0"/>
        <w:kinsoku/>
        <w:wordWrap/>
        <w:overflowPunct/>
        <w:topLinePunct w:val="0"/>
        <w:bidi w:val="0"/>
        <w:spacing w:before="100" w:after="100" w:line="5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5" w:name="_GoBack"/>
      <w:bookmarkEnd w:id="5"/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pageBreakBefore w:val="0"/>
        <w:kinsoku/>
        <w:wordWrap/>
        <w:overflowPunct/>
        <w:topLinePunct w:val="0"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7F63C4F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466F5FC5">
      <w:pPr>
        <w:pageBreakBefore w:val="0"/>
        <w:kinsoku/>
        <w:wordWrap/>
        <w:overflowPunct/>
        <w:topLinePunct w:val="0"/>
        <w:bidi w:val="0"/>
        <w:spacing w:line="500" w:lineRule="exact"/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249F06">
      <w:pPr>
        <w:pageBreakBefore w:val="0"/>
        <w:kinsoku/>
        <w:wordWrap/>
        <w:overflowPunct/>
        <w:topLinePunct w:val="0"/>
        <w:bidi w:val="0"/>
        <w:spacing w:line="50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322375C1">
      <w:pPr>
        <w:pageBreakBefore w:val="0"/>
        <w:kinsoku/>
        <w:wordWrap/>
        <w:overflowPunct/>
        <w:topLinePunct w:val="0"/>
        <w:bidi w:val="0"/>
        <w:spacing w:line="50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624CC397">
      <w:pPr>
        <w:pageBreakBefore w:val="0"/>
        <w:kinsoku/>
        <w:wordWrap/>
        <w:overflowPunct/>
        <w:topLinePunct w:val="0"/>
        <w:bidi w:val="0"/>
        <w:spacing w:line="500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DC9278-31CE-465D-82D9-4789FCC4C7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11DBCEE-8BA1-429C-9C35-FE129BFE3E6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1C3C143-02B6-4BC3-8624-A719F19116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E1323DF-2F4D-45D1-BE3B-0CD671D9AB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21A7071"/>
    <w:rsid w:val="03B60333"/>
    <w:rsid w:val="04311D7B"/>
    <w:rsid w:val="053E7D2E"/>
    <w:rsid w:val="06C61153"/>
    <w:rsid w:val="07070EA5"/>
    <w:rsid w:val="07F16AEE"/>
    <w:rsid w:val="08404F36"/>
    <w:rsid w:val="08E4766F"/>
    <w:rsid w:val="09297778"/>
    <w:rsid w:val="09503DD3"/>
    <w:rsid w:val="09554A11"/>
    <w:rsid w:val="09F40B28"/>
    <w:rsid w:val="0BAD4D82"/>
    <w:rsid w:val="0D7215BF"/>
    <w:rsid w:val="0DAB4BFF"/>
    <w:rsid w:val="0E3776C4"/>
    <w:rsid w:val="0E5168F6"/>
    <w:rsid w:val="10240C99"/>
    <w:rsid w:val="10982A37"/>
    <w:rsid w:val="10FF6E3B"/>
    <w:rsid w:val="121466E6"/>
    <w:rsid w:val="121865DB"/>
    <w:rsid w:val="12EC1F42"/>
    <w:rsid w:val="13604671"/>
    <w:rsid w:val="13DC1FB6"/>
    <w:rsid w:val="146D70B2"/>
    <w:rsid w:val="15CB7B93"/>
    <w:rsid w:val="1666200B"/>
    <w:rsid w:val="17F51899"/>
    <w:rsid w:val="18B51028"/>
    <w:rsid w:val="194505FE"/>
    <w:rsid w:val="194A79C2"/>
    <w:rsid w:val="1A5B1D0B"/>
    <w:rsid w:val="1B9735D8"/>
    <w:rsid w:val="1BE1355F"/>
    <w:rsid w:val="1CFE21F4"/>
    <w:rsid w:val="1DC67833"/>
    <w:rsid w:val="1E4B0DCA"/>
    <w:rsid w:val="1F923E71"/>
    <w:rsid w:val="20141DB5"/>
    <w:rsid w:val="22671F9E"/>
    <w:rsid w:val="22D447A0"/>
    <w:rsid w:val="235D4796"/>
    <w:rsid w:val="239A27CE"/>
    <w:rsid w:val="239B187C"/>
    <w:rsid w:val="23CE2152"/>
    <w:rsid w:val="242023D2"/>
    <w:rsid w:val="254E083A"/>
    <w:rsid w:val="25FE400E"/>
    <w:rsid w:val="27787DF0"/>
    <w:rsid w:val="27C9321A"/>
    <w:rsid w:val="29080D00"/>
    <w:rsid w:val="2A781EB5"/>
    <w:rsid w:val="2C5B1F28"/>
    <w:rsid w:val="2E7F20D2"/>
    <w:rsid w:val="2E913546"/>
    <w:rsid w:val="2ECA3572"/>
    <w:rsid w:val="2FD45DE0"/>
    <w:rsid w:val="30B76275"/>
    <w:rsid w:val="30DC0F0A"/>
    <w:rsid w:val="3135465C"/>
    <w:rsid w:val="32A0714D"/>
    <w:rsid w:val="332C1A8F"/>
    <w:rsid w:val="33501744"/>
    <w:rsid w:val="3430178A"/>
    <w:rsid w:val="34313801"/>
    <w:rsid w:val="34384B8F"/>
    <w:rsid w:val="34BB756E"/>
    <w:rsid w:val="36430E9A"/>
    <w:rsid w:val="367207C6"/>
    <w:rsid w:val="37DF7860"/>
    <w:rsid w:val="37EA43F2"/>
    <w:rsid w:val="38064FA4"/>
    <w:rsid w:val="392576AC"/>
    <w:rsid w:val="39B12CEE"/>
    <w:rsid w:val="3B3360B0"/>
    <w:rsid w:val="3C0B0DDB"/>
    <w:rsid w:val="3CB159AF"/>
    <w:rsid w:val="3DEB0EC4"/>
    <w:rsid w:val="3FB3156E"/>
    <w:rsid w:val="40257AEB"/>
    <w:rsid w:val="40A37834"/>
    <w:rsid w:val="41BF069E"/>
    <w:rsid w:val="442962A2"/>
    <w:rsid w:val="46506E72"/>
    <w:rsid w:val="477A0183"/>
    <w:rsid w:val="481E2EEF"/>
    <w:rsid w:val="4936242A"/>
    <w:rsid w:val="4B3E02F9"/>
    <w:rsid w:val="4B577F0F"/>
    <w:rsid w:val="4BC52D55"/>
    <w:rsid w:val="4F3D70A6"/>
    <w:rsid w:val="4F492507"/>
    <w:rsid w:val="52DB10B0"/>
    <w:rsid w:val="53AC47FA"/>
    <w:rsid w:val="55CE3D63"/>
    <w:rsid w:val="55EA3558"/>
    <w:rsid w:val="566159CF"/>
    <w:rsid w:val="57037009"/>
    <w:rsid w:val="57120E18"/>
    <w:rsid w:val="58FC4F69"/>
    <w:rsid w:val="5A3D43FE"/>
    <w:rsid w:val="5CC9362F"/>
    <w:rsid w:val="61692624"/>
    <w:rsid w:val="61721763"/>
    <w:rsid w:val="628D57F7"/>
    <w:rsid w:val="62A6057B"/>
    <w:rsid w:val="63061DB7"/>
    <w:rsid w:val="645A62C2"/>
    <w:rsid w:val="65501D46"/>
    <w:rsid w:val="65BC6B1F"/>
    <w:rsid w:val="66236B9E"/>
    <w:rsid w:val="696C0215"/>
    <w:rsid w:val="69A2427D"/>
    <w:rsid w:val="6A415844"/>
    <w:rsid w:val="6B901CD8"/>
    <w:rsid w:val="6DD95D94"/>
    <w:rsid w:val="6E3B455E"/>
    <w:rsid w:val="6E7C3ECE"/>
    <w:rsid w:val="704240C4"/>
    <w:rsid w:val="70447E3C"/>
    <w:rsid w:val="71612D49"/>
    <w:rsid w:val="71791D68"/>
    <w:rsid w:val="72C03E5C"/>
    <w:rsid w:val="73165394"/>
    <w:rsid w:val="75200292"/>
    <w:rsid w:val="76B37173"/>
    <w:rsid w:val="78766E88"/>
    <w:rsid w:val="7AC027B5"/>
    <w:rsid w:val="7D0932A6"/>
    <w:rsid w:val="7D211B56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4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5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1853</Words>
  <Characters>1944</Characters>
  <Lines>0</Lines>
  <Paragraphs>0</Paragraphs>
  <TotalTime>1</TotalTime>
  <ScaleCrop>false</ScaleCrop>
  <LinksUpToDate>false</LinksUpToDate>
  <CharactersWithSpaces>1984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2026-05-12T08:56:51Z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FC0A146AC9C4451C81AED3A4AD053A3E_13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